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2"/>
        <w:ind w:right="472"/>
        <w:jc w:val="left"/>
        <w:rPr>
          <w:rFonts w:hint="eastAsia" w:ascii="黑体" w:hAnsi="黑体" w:eastAsia="黑体" w:cs="黑体"/>
          <w:sz w:val="32"/>
          <w:szCs w:val="21"/>
          <w:lang w:val="en-US" w:eastAsia="zh-CN"/>
        </w:rPr>
      </w:pPr>
      <w:r>
        <w:rPr>
          <w:rFonts w:hint="eastAsia" w:ascii="黑体" w:hAnsi="黑体" w:eastAsia="黑体" w:cs="黑体"/>
          <w:sz w:val="32"/>
          <w:szCs w:val="21"/>
          <w:lang w:val="en-US" w:eastAsia="zh-CN"/>
        </w:rPr>
        <w:t>附件2</w:t>
      </w:r>
    </w:p>
    <w:p>
      <w:pPr>
        <w:pStyle w:val="2"/>
        <w:adjustRightInd/>
        <w:spacing w:before="0" w:after="0" w:line="240" w:lineRule="auto"/>
        <w:ind w:left="0" w:leftChars="0" w:right="0" w:firstLine="0" w:firstLineChars="0"/>
        <w:jc w:val="center"/>
        <w:rPr>
          <w:rFonts w:hint="default" w:eastAsia="宋体"/>
          <w:sz w:val="6"/>
          <w:lang w:val="en-US" w:eastAsia="zh-CN"/>
        </w:rPr>
      </w:pPr>
      <w:r>
        <w:rPr>
          <w:rFonts w:hint="eastAsia" w:ascii="方正小标宋简体" w:hAnsi="仿宋" w:eastAsia="方正小标宋简体" w:cs="仿宋"/>
          <w:b/>
          <w:color w:val="000000"/>
          <w:spacing w:val="0"/>
          <w:w w:val="100"/>
          <w:kern w:val="2"/>
          <w:position w:val="0"/>
          <w:sz w:val="36"/>
          <w:szCs w:val="36"/>
          <w:u w:val="none"/>
          <w:shd w:val="clear" w:color="auto" w:fill="auto"/>
          <w:lang w:val="en-US" w:eastAsia="zh-CN" w:bidi="ar-SA"/>
        </w:rPr>
        <w:t xml:space="preserve"> 2020年度预算项目绩效自评表（自治区本级）</w:t>
      </w:r>
    </w:p>
    <w:tbl>
      <w:tblPr>
        <w:tblStyle w:val="8"/>
        <w:tblW w:w="10357" w:type="dxa"/>
        <w:tblInd w:w="-8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984"/>
        <w:gridCol w:w="1064"/>
        <w:gridCol w:w="886"/>
        <w:gridCol w:w="1600"/>
        <w:gridCol w:w="1566"/>
        <w:gridCol w:w="369"/>
        <w:gridCol w:w="2048"/>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902"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项目名称</w:t>
            </w:r>
          </w:p>
        </w:tc>
        <w:tc>
          <w:tcPr>
            <w:tcW w:w="2048" w:type="dxa"/>
            <w:gridSpan w:val="2"/>
            <w:vAlign w:val="top"/>
          </w:tcPr>
          <w:p>
            <w:pPr>
              <w:pStyle w:val="11"/>
              <w:rPr>
                <w:rFonts w:hint="eastAsia" w:ascii="宋体" w:hAnsi="宋体" w:eastAsia="宋体" w:cs="宋体"/>
                <w:color w:val="auto"/>
                <w:sz w:val="22"/>
                <w:szCs w:val="22"/>
              </w:rPr>
            </w:pPr>
            <w:bookmarkStart w:id="0" w:name="_GoBack"/>
            <w:r>
              <w:rPr>
                <w:rFonts w:hint="eastAsia" w:ascii="宋体" w:hAnsi="宋体" w:eastAsia="宋体" w:cs="宋体"/>
                <w:color w:val="auto"/>
                <w:kern w:val="0"/>
                <w:sz w:val="22"/>
                <w:szCs w:val="22"/>
              </w:rPr>
              <w:t>2020年广西北部湾经济区发展专项资金</w:t>
            </w:r>
            <w:r>
              <w:rPr>
                <w:rFonts w:hint="eastAsia" w:ascii="宋体" w:hAnsi="宋体" w:eastAsia="宋体" w:cs="宋体"/>
                <w:color w:val="auto"/>
                <w:kern w:val="0"/>
                <w:sz w:val="22"/>
                <w:szCs w:val="22"/>
                <w:lang w:eastAsia="zh-CN"/>
              </w:rPr>
              <w:t>项目</w:t>
            </w:r>
            <w:bookmarkEnd w:id="0"/>
            <w:r>
              <w:rPr>
                <w:rFonts w:hint="eastAsia" w:ascii="宋体" w:hAnsi="宋体" w:eastAsia="宋体" w:cs="宋体"/>
                <w:color w:val="auto"/>
                <w:kern w:val="0"/>
                <w:sz w:val="22"/>
                <w:szCs w:val="22"/>
                <w:lang w:eastAsia="zh-CN"/>
              </w:rPr>
              <w:t>（自治区本级）</w:t>
            </w:r>
          </w:p>
        </w:tc>
        <w:tc>
          <w:tcPr>
            <w:tcW w:w="886"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项目编码</w:t>
            </w:r>
          </w:p>
        </w:tc>
        <w:tc>
          <w:tcPr>
            <w:tcW w:w="6521" w:type="dxa"/>
            <w:gridSpan w:val="5"/>
            <w:vAlign w:val="top"/>
          </w:tcPr>
          <w:p>
            <w:pPr>
              <w:pStyle w:val="11"/>
              <w:rPr>
                <w:rFonts w:hint="eastAsia"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4" w:hRule="atLeast"/>
        </w:trPr>
        <w:tc>
          <w:tcPr>
            <w:tcW w:w="902"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项目实施单位</w:t>
            </w:r>
          </w:p>
        </w:tc>
        <w:tc>
          <w:tcPr>
            <w:tcW w:w="2048" w:type="dxa"/>
            <w:gridSpan w:val="2"/>
            <w:vAlign w:val="top"/>
          </w:tcPr>
          <w:p>
            <w:pPr>
              <w:pStyle w:val="11"/>
              <w:rPr>
                <w:rFonts w:hint="eastAsia" w:ascii="宋体" w:hAnsi="宋体" w:eastAsia="宋体" w:cs="宋体"/>
                <w:color w:val="auto"/>
                <w:sz w:val="22"/>
                <w:szCs w:val="22"/>
              </w:rPr>
            </w:pPr>
            <w:r>
              <w:rPr>
                <w:rFonts w:hint="eastAsia" w:ascii="宋体" w:hAnsi="宋体" w:eastAsia="宋体" w:cs="宋体"/>
                <w:color w:val="auto"/>
                <w:kern w:val="0"/>
                <w:sz w:val="22"/>
                <w:szCs w:val="22"/>
              </w:rPr>
              <w:t>广西壮族自治区</w:t>
            </w:r>
            <w:r>
              <w:rPr>
                <w:rFonts w:hint="eastAsia" w:ascii="宋体" w:hAnsi="宋体" w:eastAsia="宋体" w:cs="宋体"/>
                <w:color w:val="auto"/>
                <w:kern w:val="0"/>
                <w:sz w:val="22"/>
                <w:szCs w:val="22"/>
                <w:lang w:eastAsia="zh-CN"/>
              </w:rPr>
              <w:t>北部湾办</w:t>
            </w:r>
          </w:p>
        </w:tc>
        <w:tc>
          <w:tcPr>
            <w:tcW w:w="886"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主管部门</w:t>
            </w:r>
          </w:p>
        </w:tc>
        <w:tc>
          <w:tcPr>
            <w:tcW w:w="6521" w:type="dxa"/>
            <w:gridSpan w:val="5"/>
            <w:vAlign w:val="top"/>
          </w:tcPr>
          <w:p>
            <w:pPr>
              <w:pStyle w:val="11"/>
              <w:rPr>
                <w:rFonts w:hint="eastAsia" w:ascii="宋体" w:hAnsi="宋体" w:eastAsia="宋体" w:cs="宋体"/>
                <w:color w:val="auto"/>
                <w:sz w:val="22"/>
                <w:szCs w:val="22"/>
              </w:rPr>
            </w:pPr>
            <w:r>
              <w:rPr>
                <w:rFonts w:hint="eastAsia" w:ascii="宋体" w:hAnsi="宋体" w:eastAsia="宋体" w:cs="宋体"/>
                <w:color w:val="auto"/>
                <w:kern w:val="0"/>
                <w:sz w:val="22"/>
                <w:szCs w:val="22"/>
              </w:rPr>
              <w:t>广西壮族自治区</w:t>
            </w:r>
            <w:r>
              <w:rPr>
                <w:rFonts w:hint="eastAsia" w:ascii="宋体" w:hAnsi="宋体" w:eastAsia="宋体" w:cs="宋体"/>
                <w:color w:val="auto"/>
                <w:kern w:val="0"/>
                <w:sz w:val="22"/>
                <w:szCs w:val="22"/>
                <w:lang w:eastAsia="zh-CN"/>
              </w:rPr>
              <w:t>北部湾办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902" w:type="dxa"/>
            <w:vMerge w:val="restart"/>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资金总额</w:t>
            </w:r>
          </w:p>
        </w:tc>
        <w:tc>
          <w:tcPr>
            <w:tcW w:w="2048" w:type="dxa"/>
            <w:gridSpan w:val="2"/>
            <w:vAlign w:val="center"/>
          </w:tcPr>
          <w:p>
            <w:pPr>
              <w:widowControl/>
              <w:jc w:val="center"/>
              <w:rPr>
                <w:rFonts w:hint="eastAsia" w:ascii="宋体" w:hAnsi="宋体" w:eastAsia="宋体" w:cs="宋体"/>
                <w:b w:val="0"/>
                <w:bCs/>
                <w:color w:val="auto"/>
                <w:sz w:val="22"/>
                <w:szCs w:val="22"/>
              </w:rPr>
            </w:pPr>
            <w:r>
              <w:rPr>
                <w:rFonts w:hint="eastAsia" w:ascii="宋体" w:hAnsi="宋体" w:eastAsia="宋体" w:cs="宋体"/>
                <w:bCs/>
                <w:color w:val="auto"/>
                <w:kern w:val="0"/>
                <w:sz w:val="22"/>
                <w:szCs w:val="22"/>
              </w:rPr>
              <w:t>资金来源</w:t>
            </w:r>
          </w:p>
        </w:tc>
        <w:tc>
          <w:tcPr>
            <w:tcW w:w="7407" w:type="dxa"/>
            <w:gridSpan w:val="6"/>
            <w:vAlign w:val="center"/>
          </w:tcPr>
          <w:p>
            <w:pPr>
              <w:widowControl/>
              <w:jc w:val="center"/>
              <w:rPr>
                <w:rFonts w:hint="eastAsia" w:ascii="宋体" w:hAnsi="宋体" w:eastAsia="宋体" w:cs="宋体"/>
                <w:b w:val="0"/>
                <w:bCs/>
                <w:color w:val="auto"/>
                <w:sz w:val="22"/>
                <w:szCs w:val="22"/>
              </w:rPr>
            </w:pPr>
            <w:r>
              <w:rPr>
                <w:rFonts w:hint="eastAsia" w:ascii="宋体" w:hAnsi="宋体" w:eastAsia="宋体" w:cs="宋体"/>
                <w:bCs/>
                <w:color w:val="auto"/>
                <w:kern w:val="0"/>
                <w:sz w:val="22"/>
                <w:szCs w:val="22"/>
              </w:rPr>
              <w:t>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5" w:hRule="atLeast"/>
        </w:trPr>
        <w:tc>
          <w:tcPr>
            <w:tcW w:w="902" w:type="dxa"/>
            <w:vMerge w:val="continue"/>
            <w:tcBorders>
              <w:top w:val="nil"/>
            </w:tcBorders>
            <w:vAlign w:val="center"/>
          </w:tcPr>
          <w:p>
            <w:pPr>
              <w:widowControl/>
              <w:jc w:val="left"/>
              <w:rPr>
                <w:rFonts w:hint="eastAsia" w:ascii="宋体" w:hAnsi="宋体" w:eastAsia="宋体" w:cs="宋体"/>
                <w:color w:val="auto"/>
                <w:sz w:val="22"/>
                <w:szCs w:val="22"/>
              </w:rPr>
            </w:pPr>
          </w:p>
        </w:tc>
        <w:tc>
          <w:tcPr>
            <w:tcW w:w="2048" w:type="dxa"/>
            <w:gridSpan w:val="2"/>
            <w:vAlign w:val="center"/>
          </w:tcPr>
          <w:p>
            <w:pPr>
              <w:widowControl/>
              <w:jc w:val="center"/>
              <w:rPr>
                <w:rFonts w:hint="eastAsia" w:ascii="宋体" w:hAnsi="宋体" w:eastAsia="宋体" w:cs="宋体"/>
                <w:b w:val="0"/>
                <w:bCs/>
                <w:color w:val="auto"/>
                <w:sz w:val="22"/>
                <w:szCs w:val="22"/>
              </w:rPr>
            </w:pPr>
            <w:r>
              <w:rPr>
                <w:rFonts w:hint="eastAsia" w:ascii="宋体" w:hAnsi="宋体" w:eastAsia="宋体" w:cs="宋体"/>
                <w:bCs/>
                <w:color w:val="auto"/>
                <w:kern w:val="0"/>
                <w:sz w:val="22"/>
                <w:szCs w:val="22"/>
              </w:rPr>
              <w:t>合  计</w:t>
            </w:r>
          </w:p>
        </w:tc>
        <w:tc>
          <w:tcPr>
            <w:tcW w:w="7407" w:type="dxa"/>
            <w:gridSpan w:val="6"/>
            <w:vAlign w:val="center"/>
          </w:tcPr>
          <w:p>
            <w:pPr>
              <w:widowControl/>
              <w:jc w:val="center"/>
              <w:rPr>
                <w:rFonts w:hint="eastAsia" w:ascii="宋体" w:hAnsi="宋体" w:eastAsia="宋体" w:cs="宋体"/>
                <w:b w:val="0"/>
                <w:bCs/>
                <w:color w:val="auto"/>
                <w:sz w:val="22"/>
                <w:szCs w:val="22"/>
              </w:rPr>
            </w:pPr>
            <w:r>
              <w:rPr>
                <w:rFonts w:hint="eastAsia" w:ascii="宋体" w:hAnsi="宋体" w:eastAsia="宋体" w:cs="宋体"/>
                <w:bCs/>
                <w:color w:val="auto"/>
                <w:kern w:val="0"/>
                <w:sz w:val="22"/>
                <w:szCs w:val="22"/>
                <w:lang w:val="en-US" w:eastAsia="zh-CN"/>
              </w:rPr>
              <w:t>90928.85</w:t>
            </w:r>
            <w:r>
              <w:rPr>
                <w:rFonts w:hint="eastAsia" w:ascii="宋体" w:hAnsi="宋体" w:eastAsia="宋体" w:cs="宋体"/>
                <w:bCs/>
                <w:color w:val="auto"/>
                <w:kern w:val="0"/>
                <w:sz w:val="22"/>
                <w:szCs w:val="22"/>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8" w:hRule="atLeast"/>
        </w:trPr>
        <w:tc>
          <w:tcPr>
            <w:tcW w:w="902" w:type="dxa"/>
            <w:vMerge w:val="continue"/>
            <w:tcBorders>
              <w:top w:val="nil"/>
            </w:tcBorders>
            <w:vAlign w:val="center"/>
          </w:tcPr>
          <w:p>
            <w:pPr>
              <w:widowControl/>
              <w:jc w:val="left"/>
              <w:rPr>
                <w:rFonts w:hint="eastAsia" w:ascii="宋体" w:hAnsi="宋体" w:eastAsia="宋体" w:cs="宋体"/>
                <w:color w:val="auto"/>
                <w:sz w:val="22"/>
                <w:szCs w:val="22"/>
              </w:rPr>
            </w:pPr>
          </w:p>
        </w:tc>
        <w:tc>
          <w:tcPr>
            <w:tcW w:w="2048" w:type="dxa"/>
            <w:gridSpan w:val="2"/>
            <w:vMerge w:val="restart"/>
            <w:vAlign w:val="center"/>
          </w:tcPr>
          <w:p>
            <w:pPr>
              <w:widowControl/>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 xml:space="preserve">  其中：一般公共预算拨款</w:t>
            </w:r>
          </w:p>
        </w:tc>
        <w:tc>
          <w:tcPr>
            <w:tcW w:w="2486" w:type="dxa"/>
            <w:gridSpan w:val="2"/>
            <w:vAlign w:val="top"/>
          </w:tcPr>
          <w:p>
            <w:pPr>
              <w:pStyle w:val="11"/>
              <w:spacing w:before="24"/>
              <w:ind w:left="108"/>
              <w:rPr>
                <w:rFonts w:hint="eastAsia" w:ascii="宋体" w:hAnsi="宋体" w:eastAsia="宋体" w:cs="宋体"/>
                <w:color w:val="auto"/>
                <w:sz w:val="22"/>
                <w:szCs w:val="22"/>
              </w:rPr>
            </w:pPr>
            <w:r>
              <w:rPr>
                <w:rFonts w:hint="eastAsia" w:ascii="宋体" w:hAnsi="宋体" w:eastAsia="宋体" w:cs="宋体"/>
                <w:color w:val="auto"/>
                <w:sz w:val="22"/>
                <w:szCs w:val="22"/>
              </w:rPr>
              <w:t>其中: 中央</w:t>
            </w:r>
          </w:p>
        </w:tc>
        <w:tc>
          <w:tcPr>
            <w:tcW w:w="4921" w:type="dxa"/>
            <w:gridSpan w:val="4"/>
            <w:vAlign w:val="top"/>
          </w:tcPr>
          <w:p>
            <w:pPr>
              <w:pStyle w:val="11"/>
              <w:rPr>
                <w:rFonts w:hint="eastAsia"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902" w:type="dxa"/>
            <w:vMerge w:val="continue"/>
            <w:tcBorders>
              <w:top w:val="nil"/>
            </w:tcBorders>
            <w:vAlign w:val="top"/>
          </w:tcPr>
          <w:p>
            <w:pPr>
              <w:rPr>
                <w:rFonts w:hint="eastAsia" w:ascii="宋体" w:hAnsi="宋体" w:eastAsia="宋体" w:cs="宋体"/>
                <w:color w:val="auto"/>
                <w:sz w:val="22"/>
                <w:szCs w:val="22"/>
              </w:rPr>
            </w:pPr>
          </w:p>
        </w:tc>
        <w:tc>
          <w:tcPr>
            <w:tcW w:w="2048" w:type="dxa"/>
            <w:gridSpan w:val="2"/>
            <w:vMerge w:val="continue"/>
            <w:tcBorders>
              <w:top w:val="nil"/>
            </w:tcBorders>
            <w:vAlign w:val="top"/>
          </w:tcPr>
          <w:p>
            <w:pPr>
              <w:rPr>
                <w:rFonts w:hint="eastAsia" w:ascii="宋体" w:hAnsi="宋体" w:eastAsia="宋体" w:cs="宋体"/>
                <w:color w:val="auto"/>
                <w:sz w:val="22"/>
                <w:szCs w:val="22"/>
              </w:rPr>
            </w:pPr>
          </w:p>
        </w:tc>
        <w:tc>
          <w:tcPr>
            <w:tcW w:w="2486" w:type="dxa"/>
            <w:gridSpan w:val="2"/>
            <w:vAlign w:val="top"/>
          </w:tcPr>
          <w:p>
            <w:pPr>
              <w:pStyle w:val="11"/>
              <w:spacing w:before="24"/>
              <w:ind w:left="768"/>
              <w:rPr>
                <w:rFonts w:hint="eastAsia" w:ascii="宋体" w:hAnsi="宋体" w:eastAsia="宋体" w:cs="宋体"/>
                <w:color w:val="auto"/>
                <w:sz w:val="22"/>
                <w:szCs w:val="22"/>
              </w:rPr>
            </w:pPr>
            <w:r>
              <w:rPr>
                <w:rFonts w:hint="eastAsia" w:ascii="宋体" w:hAnsi="宋体" w:eastAsia="宋体" w:cs="宋体"/>
                <w:color w:val="auto"/>
                <w:sz w:val="22"/>
                <w:szCs w:val="22"/>
              </w:rPr>
              <w:t>自治区</w:t>
            </w:r>
          </w:p>
        </w:tc>
        <w:tc>
          <w:tcPr>
            <w:tcW w:w="4921" w:type="dxa"/>
            <w:gridSpan w:val="4"/>
            <w:vAlign w:val="top"/>
          </w:tcPr>
          <w:p>
            <w:pPr>
              <w:pStyle w:val="11"/>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90928.85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center"/>
          </w:tcPr>
          <w:p>
            <w:pPr>
              <w:widowControl/>
              <w:jc w:val="left"/>
              <w:rPr>
                <w:rFonts w:hint="eastAsia" w:ascii="宋体" w:hAnsi="宋体" w:eastAsia="宋体" w:cs="宋体"/>
                <w:color w:val="auto"/>
                <w:sz w:val="22"/>
                <w:szCs w:val="22"/>
              </w:rPr>
            </w:pPr>
          </w:p>
        </w:tc>
        <w:tc>
          <w:tcPr>
            <w:tcW w:w="2048" w:type="dxa"/>
            <w:gridSpan w:val="2"/>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政府性基金</w:t>
            </w:r>
          </w:p>
        </w:tc>
        <w:tc>
          <w:tcPr>
            <w:tcW w:w="2486" w:type="dxa"/>
            <w:gridSpan w:val="2"/>
            <w:vAlign w:val="top"/>
          </w:tcPr>
          <w:p>
            <w:pPr>
              <w:pStyle w:val="11"/>
              <w:spacing w:before="25"/>
              <w:ind w:left="935" w:right="926"/>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c>
          <w:tcPr>
            <w:tcW w:w="4921" w:type="dxa"/>
            <w:gridSpan w:val="4"/>
            <w:vAlign w:val="top"/>
          </w:tcPr>
          <w:p>
            <w:pPr>
              <w:pStyle w:val="11"/>
              <w:rPr>
                <w:rFonts w:hint="eastAsia"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center"/>
          </w:tcPr>
          <w:p>
            <w:pPr>
              <w:widowControl/>
              <w:jc w:val="left"/>
              <w:rPr>
                <w:rFonts w:hint="eastAsia" w:ascii="宋体" w:hAnsi="宋体" w:eastAsia="宋体" w:cs="宋体"/>
                <w:color w:val="auto"/>
                <w:sz w:val="22"/>
                <w:szCs w:val="22"/>
              </w:rPr>
            </w:pPr>
          </w:p>
        </w:tc>
        <w:tc>
          <w:tcPr>
            <w:tcW w:w="2048" w:type="dxa"/>
            <w:gridSpan w:val="2"/>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其他资金</w:t>
            </w:r>
          </w:p>
        </w:tc>
        <w:tc>
          <w:tcPr>
            <w:tcW w:w="2486" w:type="dxa"/>
            <w:gridSpan w:val="2"/>
            <w:vAlign w:val="top"/>
          </w:tcPr>
          <w:p>
            <w:pPr>
              <w:pStyle w:val="11"/>
              <w:spacing w:before="24"/>
              <w:ind w:left="935" w:right="926"/>
              <w:jc w:val="center"/>
              <w:rPr>
                <w:rFonts w:hint="eastAsia" w:ascii="宋体" w:hAnsi="宋体" w:eastAsia="宋体" w:cs="宋体"/>
                <w:b/>
                <w:color w:val="auto"/>
                <w:sz w:val="22"/>
                <w:szCs w:val="22"/>
              </w:rPr>
            </w:pPr>
            <w:r>
              <w:rPr>
                <w:rFonts w:hint="eastAsia" w:ascii="宋体" w:hAnsi="宋体" w:eastAsia="宋体" w:cs="宋体"/>
                <w:b/>
                <w:color w:val="auto"/>
                <w:sz w:val="22"/>
                <w:szCs w:val="22"/>
              </w:rPr>
              <w:t>——</w:t>
            </w:r>
          </w:p>
        </w:tc>
        <w:tc>
          <w:tcPr>
            <w:tcW w:w="4921" w:type="dxa"/>
            <w:gridSpan w:val="4"/>
            <w:vAlign w:val="top"/>
          </w:tcPr>
          <w:p>
            <w:pPr>
              <w:pStyle w:val="11"/>
              <w:rPr>
                <w:rFonts w:hint="eastAsia"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0" w:hRule="atLeast"/>
        </w:trPr>
        <w:tc>
          <w:tcPr>
            <w:tcW w:w="902"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项目概况（包括项目立项依据、可行性和必要性、支持范围、实施内容等）</w:t>
            </w:r>
          </w:p>
        </w:tc>
        <w:tc>
          <w:tcPr>
            <w:tcW w:w="9455" w:type="dxa"/>
            <w:gridSpan w:val="8"/>
            <w:vAlign w:val="top"/>
          </w:tcPr>
          <w:p>
            <w:pPr>
              <w:pStyle w:val="11"/>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SA"/>
              </w:rPr>
              <w:t>为贯彻落实《广西北部湾经济区发展规划（2014年修订）》、《广西壮族自治区人民政府关于延续和修订促进广西北部湾经济区开放开发的若干政策规定》（桂政发〔2014〕5号）和自治区党委 自治区人民政府印发《关于推进北钦防一体化和高水平开放高质量发展的意见》和《广西北部湾经济区北钦防一体化发展规划（2019-2025 年）的通知》（桂发〔2019〕22号），自治区本级每年安排广西北部湾经济区发展专项资金（以下简称∶“北部湾专项资金”），用于支持经济区"双百双新"产业项目、北钦防一体化、西部陆海新通道、重点产业园区、自贸区等重大开放平台和基础设施建设、项目前期工作、人才开发利用等方面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902"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项目起始时间</w:t>
            </w:r>
          </w:p>
        </w:tc>
        <w:tc>
          <w:tcPr>
            <w:tcW w:w="2048" w:type="dxa"/>
            <w:gridSpan w:val="2"/>
            <w:vAlign w:val="top"/>
          </w:tcPr>
          <w:p>
            <w:pPr>
              <w:pStyle w:val="11"/>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2020年1月1日</w:t>
            </w:r>
          </w:p>
        </w:tc>
        <w:tc>
          <w:tcPr>
            <w:tcW w:w="4421" w:type="dxa"/>
            <w:gridSpan w:val="4"/>
            <w:vAlign w:val="top"/>
          </w:tcPr>
          <w:p>
            <w:pPr>
              <w:pStyle w:val="11"/>
              <w:spacing w:before="25"/>
              <w:jc w:val="center"/>
              <w:rPr>
                <w:rFonts w:hint="eastAsia" w:ascii="宋体" w:hAnsi="宋体" w:eastAsia="宋体" w:cs="宋体"/>
                <w:color w:val="auto"/>
                <w:sz w:val="22"/>
                <w:szCs w:val="22"/>
              </w:rPr>
            </w:pPr>
            <w:r>
              <w:rPr>
                <w:rFonts w:hint="eastAsia" w:ascii="宋体" w:hAnsi="宋体" w:eastAsia="宋体" w:cs="宋体"/>
                <w:color w:val="auto"/>
                <w:sz w:val="22"/>
                <w:szCs w:val="22"/>
              </w:rPr>
              <w:t>项目终止时间</w:t>
            </w:r>
          </w:p>
        </w:tc>
        <w:tc>
          <w:tcPr>
            <w:tcW w:w="2986" w:type="dxa"/>
            <w:gridSpan w:val="2"/>
            <w:vAlign w:val="top"/>
          </w:tcPr>
          <w:p>
            <w:pPr>
              <w:pStyle w:val="11"/>
              <w:spacing w:before="25"/>
              <w:ind w:left="516"/>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1" w:hRule="atLeast"/>
        </w:trPr>
        <w:tc>
          <w:tcPr>
            <w:tcW w:w="902" w:type="dxa"/>
            <w:vAlign w:val="center"/>
          </w:tcPr>
          <w:p>
            <w:pPr>
              <w:widowControl/>
              <w:jc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项目实施进度</w:t>
            </w:r>
          </w:p>
          <w:p>
            <w:pPr>
              <w:widowControl/>
              <w:jc w:val="center"/>
              <w:rPr>
                <w:rFonts w:hint="eastAsia" w:ascii="宋体" w:hAnsi="宋体" w:eastAsia="宋体" w:cs="宋体"/>
                <w:color w:val="auto"/>
                <w:sz w:val="22"/>
                <w:szCs w:val="22"/>
                <w:lang w:val="en-US" w:eastAsia="zh-CN"/>
              </w:rPr>
            </w:pPr>
          </w:p>
        </w:tc>
        <w:tc>
          <w:tcPr>
            <w:tcW w:w="9455" w:type="dxa"/>
            <w:gridSpan w:val="8"/>
            <w:vAlign w:val="top"/>
          </w:tcPr>
          <w:p>
            <w:pPr>
              <w:pStyle w:val="11"/>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按照自治区政府对北部湾经济区的工作时间部署，分季度、月度统筹推进</w:t>
            </w:r>
            <w:r>
              <w:rPr>
                <w:rFonts w:hint="eastAsia" w:ascii="宋体" w:hAnsi="宋体" w:eastAsia="宋体" w:cs="宋体"/>
                <w:color w:val="auto"/>
                <w:kern w:val="0"/>
                <w:sz w:val="22"/>
                <w:szCs w:val="22"/>
                <w:lang w:val="en-US" w:eastAsia="zh-CN"/>
              </w:rPr>
              <w:t>业务进度</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按照财政部门关于预算支出进度的要求执行财务支出进度</w:t>
            </w:r>
            <w:r>
              <w:rPr>
                <w:rFonts w:hint="eastAsia" w:ascii="宋体" w:hAnsi="宋体" w:eastAsia="宋体" w:cs="宋体"/>
                <w:color w:val="auto"/>
                <w:kern w:val="0"/>
                <w:sz w:val="22"/>
                <w:szCs w:val="2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0" w:hRule="atLeast"/>
        </w:trPr>
        <w:tc>
          <w:tcPr>
            <w:tcW w:w="902"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年度绩效目标</w:t>
            </w:r>
          </w:p>
        </w:tc>
        <w:tc>
          <w:tcPr>
            <w:tcW w:w="9455" w:type="dxa"/>
            <w:gridSpan w:val="8"/>
            <w:vAlign w:val="top"/>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1.对申报获得立项的一批项目予以支持（项目数量以正式下文的评审结果为准），重点支持：北部湾经济区"双百双新"重大产业，北钦防一体化发展、西部陆海新通道建设、重大开发开放平台建设、项目前期工作、北部湾人才开发利用等方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2.基本实现北部湾办发〔2017〕145号设立的“专项资金设立的目标”:到 2020 年，北部湾经济区</w:t>
            </w:r>
            <w:r>
              <w:rPr>
                <w:rFonts w:hint="eastAsia" w:ascii="宋体" w:hAnsi="宋体" w:cs="宋体"/>
                <w:color w:val="auto"/>
                <w:kern w:val="0"/>
                <w:sz w:val="22"/>
                <w:szCs w:val="22"/>
                <w:lang w:val="en-US" w:eastAsia="zh-CN" w:bidi="ar-SA"/>
              </w:rPr>
              <w:t>建设成为“</w:t>
            </w:r>
            <w:r>
              <w:rPr>
                <w:rFonts w:hint="eastAsia" w:ascii="宋体" w:hAnsi="宋体" w:eastAsia="宋体" w:cs="宋体"/>
                <w:color w:val="auto"/>
                <w:kern w:val="0"/>
                <w:sz w:val="22"/>
                <w:szCs w:val="22"/>
                <w:lang w:val="en-US" w:eastAsia="zh-CN" w:bidi="ar-SA"/>
              </w:rPr>
              <w:t>一带一路”有机衔接的重要门户核心区、中国－东盟自贸区升级版的先行示范区、西南中南地区开放发展新的战略支点的核心引擎，广西升级发展的引领示范区和先行先试区。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3.重点产业园区建设、西部陆海新通道基础设施逐步完善。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kern w:val="0"/>
                <w:sz w:val="22"/>
                <w:szCs w:val="22"/>
                <w:lang w:val="en-US" w:eastAsia="zh-CN" w:bidi="ar-SA"/>
              </w:rPr>
              <w:t>4.北部湾经济开发区相关六市的经济总量较2019年增长；招商引资总量完成自治区下达的任务；港口货物吞吐量、集装箱较2019年有增长。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bidi="ar-SA"/>
              </w:rPr>
              <w:t>5.打造8个“百亿级”园区。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1886" w:type="dxa"/>
            <w:gridSpan w:val="2"/>
            <w:vAlign w:val="center"/>
          </w:tcPr>
          <w:p>
            <w:pPr>
              <w:widowControl/>
              <w:jc w:val="center"/>
              <w:rPr>
                <w:rFonts w:hint="eastAsia" w:ascii="宋体" w:hAnsi="宋体" w:eastAsia="宋体" w:cs="宋体"/>
                <w:b/>
                <w:bCs/>
                <w:color w:val="auto"/>
                <w:kern w:val="0"/>
                <w:sz w:val="22"/>
                <w:szCs w:val="22"/>
              </w:rPr>
            </w:pPr>
            <w:r>
              <w:rPr>
                <w:rFonts w:hint="eastAsia" w:ascii="宋体" w:hAnsi="宋体" w:eastAsia="宋体" w:cs="宋体"/>
                <w:b/>
                <w:bCs/>
                <w:color w:val="auto"/>
                <w:kern w:val="0"/>
                <w:sz w:val="22"/>
                <w:szCs w:val="22"/>
              </w:rPr>
              <w:t>自评得分</w:t>
            </w:r>
          </w:p>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（满分100分）</w:t>
            </w:r>
          </w:p>
        </w:tc>
        <w:tc>
          <w:tcPr>
            <w:tcW w:w="1950" w:type="dxa"/>
            <w:gridSpan w:val="2"/>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95.8</w:t>
            </w:r>
          </w:p>
        </w:tc>
        <w:tc>
          <w:tcPr>
            <w:tcW w:w="3166" w:type="dxa"/>
            <w:gridSpan w:val="2"/>
            <w:vAlign w:val="center"/>
          </w:tcPr>
          <w:p>
            <w:pPr>
              <w:widowControl/>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kern w:val="0"/>
                <w:sz w:val="22"/>
                <w:szCs w:val="22"/>
              </w:rPr>
              <w:t>预算执行率%（10分）</w:t>
            </w:r>
          </w:p>
        </w:tc>
        <w:tc>
          <w:tcPr>
            <w:tcW w:w="3355" w:type="dxa"/>
            <w:gridSpan w:val="3"/>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81.58%，8.8分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4" w:hRule="atLeast"/>
        </w:trPr>
        <w:tc>
          <w:tcPr>
            <w:tcW w:w="902" w:type="dxa"/>
            <w:vMerge w:val="restart"/>
            <w:vAlign w:val="center"/>
          </w:tcPr>
          <w:p>
            <w:pPr>
              <w:widowControl/>
              <w:jc w:val="center"/>
              <w:rPr>
                <w:rFonts w:hint="eastAsia" w:ascii="宋体" w:hAnsi="宋体" w:eastAsia="宋体" w:cs="宋体"/>
                <w:b/>
                <w:color w:val="auto"/>
                <w:kern w:val="0"/>
                <w:sz w:val="22"/>
                <w:szCs w:val="22"/>
                <w:lang w:val="en-US" w:eastAsia="zh-CN" w:bidi="ar-SA"/>
              </w:rPr>
            </w:pPr>
            <w:r>
              <w:rPr>
                <w:rFonts w:hint="eastAsia" w:ascii="宋体" w:hAnsi="宋体" w:eastAsia="宋体" w:cs="宋体"/>
                <w:b w:val="0"/>
                <w:bCs/>
                <w:color w:val="auto"/>
                <w:kern w:val="0"/>
                <w:sz w:val="22"/>
                <w:szCs w:val="22"/>
              </w:rPr>
              <w:t>项目绩效目标衡量指标</w:t>
            </w:r>
          </w:p>
        </w:tc>
        <w:tc>
          <w:tcPr>
            <w:tcW w:w="984"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一级指标</w:t>
            </w:r>
          </w:p>
        </w:tc>
        <w:tc>
          <w:tcPr>
            <w:tcW w:w="1064"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二级指标</w:t>
            </w:r>
          </w:p>
        </w:tc>
        <w:tc>
          <w:tcPr>
            <w:tcW w:w="886"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指标内容</w:t>
            </w:r>
          </w:p>
        </w:tc>
        <w:tc>
          <w:tcPr>
            <w:tcW w:w="1600"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指标值</w:t>
            </w:r>
          </w:p>
        </w:tc>
        <w:tc>
          <w:tcPr>
            <w:tcW w:w="1566"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实际完成值</w:t>
            </w:r>
          </w:p>
        </w:tc>
        <w:tc>
          <w:tcPr>
            <w:tcW w:w="2417" w:type="dxa"/>
            <w:gridSpan w:val="2"/>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未完成的原因</w:t>
            </w:r>
          </w:p>
        </w:tc>
        <w:tc>
          <w:tcPr>
            <w:tcW w:w="938" w:type="dxa"/>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指标得分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59"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restart"/>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产出指标（50分。其中：产出数量、质量、时效、成本分别20分、10分、10分、10分）</w:t>
            </w: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产出数量</w:t>
            </w:r>
          </w:p>
        </w:tc>
        <w:tc>
          <w:tcPr>
            <w:tcW w:w="886" w:type="dxa"/>
            <w:vAlign w:val="top"/>
          </w:tcPr>
          <w:p>
            <w:pPr>
              <w:widowControl/>
              <w:spacing w:line="360" w:lineRule="exact"/>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（1）支持重点领域数量</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（2）立项项目数量</w:t>
            </w:r>
          </w:p>
        </w:tc>
        <w:tc>
          <w:tcPr>
            <w:tcW w:w="1600" w:type="dxa"/>
            <w:vAlign w:val="top"/>
          </w:tcPr>
          <w:p>
            <w:pPr>
              <w:widowControl/>
              <w:spacing w:line="36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lang w:eastAsia="zh-CN"/>
              </w:rPr>
              <w:t>）六个</w:t>
            </w:r>
            <w:r>
              <w:rPr>
                <w:rFonts w:hint="eastAsia" w:ascii="宋体" w:hAnsi="宋体" w:eastAsia="宋体" w:cs="宋体"/>
                <w:color w:val="auto"/>
                <w:kern w:val="0"/>
                <w:sz w:val="22"/>
                <w:szCs w:val="22"/>
                <w:lang w:val="en-US" w:eastAsia="zh-CN"/>
              </w:rPr>
              <w:t>重点领域：北部湾经济区"双百双新"重大产业，北钦防一体化发展、西部陆海新通道建设、重大开发开放平台建设、项目前期工作、北部湾人才开发利用等方面</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lang w:eastAsia="zh-CN"/>
              </w:rPr>
              <w:t>）一批（以正式下文为准）</w:t>
            </w:r>
          </w:p>
        </w:tc>
        <w:tc>
          <w:tcPr>
            <w:tcW w:w="1566" w:type="dxa"/>
            <w:vAlign w:val="top"/>
          </w:tcPr>
          <w:p>
            <w:pPr>
              <w:widowControl/>
              <w:spacing w:line="36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lang w:eastAsia="zh-CN"/>
              </w:rPr>
              <w:t>）六个</w:t>
            </w:r>
            <w:r>
              <w:rPr>
                <w:rFonts w:hint="eastAsia" w:ascii="宋体" w:hAnsi="宋体" w:eastAsia="宋体" w:cs="宋体"/>
                <w:color w:val="auto"/>
                <w:kern w:val="0"/>
                <w:sz w:val="22"/>
                <w:szCs w:val="22"/>
                <w:lang w:val="en-US" w:eastAsia="zh-CN"/>
              </w:rPr>
              <w:t>重点领域：北部湾经济区"双百双新"重大产业，北钦防一体化发展、西部陆海新通道建设、重大开发开放平台建设、项目前期工作、北部湾人才开发利用等方面</w:t>
            </w:r>
          </w:p>
          <w:p>
            <w:pPr>
              <w:pStyle w:val="11"/>
              <w:jc w:val="left"/>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lang w:eastAsia="zh-CN"/>
              </w:rPr>
              <w:t>）一批（以正式下文为准）</w:t>
            </w: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7"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highlight w:val="none"/>
              </w:rPr>
              <w:t>产出质量</w:t>
            </w:r>
          </w:p>
        </w:tc>
        <w:tc>
          <w:tcPr>
            <w:tcW w:w="886" w:type="dxa"/>
            <w:vAlign w:val="top"/>
          </w:tcPr>
          <w:p>
            <w:pPr>
              <w:widowControl/>
              <w:numPr>
                <w:ilvl w:val="0"/>
                <w:numId w:val="1"/>
              </w:numPr>
              <w:spacing w:line="36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项目科学性</w:t>
            </w:r>
          </w:p>
          <w:p>
            <w:pPr>
              <w:widowControl/>
              <w:numPr>
                <w:ilvl w:val="0"/>
                <w:numId w:val="1"/>
              </w:numPr>
              <w:spacing w:line="360" w:lineRule="exact"/>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项目覆盖面</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）项目合格率</w:t>
            </w:r>
          </w:p>
        </w:tc>
        <w:tc>
          <w:tcPr>
            <w:tcW w:w="1600" w:type="dxa"/>
            <w:vAlign w:val="top"/>
          </w:tcPr>
          <w:p>
            <w:pPr>
              <w:widowControl/>
              <w:numPr>
                <w:ilvl w:val="0"/>
                <w:numId w:val="0"/>
              </w:numPr>
              <w:spacing w:line="360" w:lineRule="exact"/>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lang w:eastAsia="zh-CN"/>
              </w:rPr>
              <w:t>立项项目</w:t>
            </w:r>
            <w:r>
              <w:rPr>
                <w:rFonts w:hint="eastAsia" w:ascii="宋体" w:hAnsi="宋体" w:eastAsia="宋体" w:cs="宋体"/>
                <w:color w:val="auto"/>
                <w:kern w:val="0"/>
                <w:sz w:val="22"/>
                <w:szCs w:val="22"/>
                <w:lang w:val="en-US" w:eastAsia="zh-CN"/>
              </w:rPr>
              <w:t>100%</w:t>
            </w:r>
            <w:r>
              <w:rPr>
                <w:rFonts w:hint="eastAsia" w:ascii="宋体" w:hAnsi="宋体" w:eastAsia="宋体" w:cs="宋体"/>
                <w:color w:val="auto"/>
                <w:kern w:val="0"/>
                <w:sz w:val="22"/>
                <w:szCs w:val="22"/>
                <w:lang w:eastAsia="zh-CN"/>
              </w:rPr>
              <w:t>符合北部湾办发〔201</w:t>
            </w:r>
            <w:r>
              <w:rPr>
                <w:rFonts w:hint="eastAsia" w:ascii="宋体" w:hAnsi="宋体" w:eastAsia="宋体" w:cs="宋体"/>
                <w:color w:val="auto"/>
                <w:kern w:val="0"/>
                <w:sz w:val="22"/>
                <w:szCs w:val="22"/>
                <w:lang w:val="en-US" w:eastAsia="zh-CN"/>
              </w:rPr>
              <w:t>9</w:t>
            </w:r>
            <w:r>
              <w:rPr>
                <w:rFonts w:hint="eastAsia" w:ascii="宋体" w:hAnsi="宋体" w:eastAsia="宋体" w:cs="宋体"/>
                <w:color w:val="auto"/>
                <w:kern w:val="0"/>
                <w:sz w:val="22"/>
                <w:szCs w:val="22"/>
                <w:lang w:eastAsia="zh-CN"/>
              </w:rPr>
              <w:t>〕56号、北部湾办发〔2018〕74号要求</w:t>
            </w:r>
          </w:p>
          <w:p>
            <w:pPr>
              <w:widowControl/>
              <w:numPr>
                <w:ilvl w:val="0"/>
                <w:numId w:val="0"/>
              </w:numPr>
              <w:spacing w:line="360" w:lineRule="exact"/>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lang w:eastAsia="zh-CN"/>
              </w:rPr>
              <w:t>项目</w:t>
            </w:r>
            <w:r>
              <w:rPr>
                <w:rFonts w:hint="eastAsia" w:ascii="宋体" w:hAnsi="宋体" w:eastAsia="宋体" w:cs="宋体"/>
                <w:color w:val="auto"/>
                <w:kern w:val="0"/>
                <w:sz w:val="22"/>
                <w:szCs w:val="22"/>
                <w:lang w:val="en-US" w:eastAsia="zh-CN"/>
              </w:rPr>
              <w:t>100%</w:t>
            </w:r>
            <w:r>
              <w:rPr>
                <w:rFonts w:hint="eastAsia" w:ascii="宋体" w:hAnsi="宋体" w:eastAsia="宋体" w:cs="宋体"/>
                <w:color w:val="auto"/>
                <w:kern w:val="0"/>
                <w:sz w:val="22"/>
                <w:szCs w:val="22"/>
                <w:lang w:eastAsia="zh-CN"/>
              </w:rPr>
              <w:t>覆盖北部湾经济开发区相关</w:t>
            </w:r>
            <w:r>
              <w:rPr>
                <w:rFonts w:hint="eastAsia" w:ascii="宋体" w:hAnsi="宋体" w:eastAsia="宋体" w:cs="宋体"/>
                <w:color w:val="auto"/>
                <w:kern w:val="0"/>
                <w:sz w:val="22"/>
                <w:szCs w:val="22"/>
                <w:lang w:val="en-US" w:eastAsia="zh-CN"/>
              </w:rPr>
              <w:t>6市</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）项目期满验收合格率</w:t>
            </w:r>
            <w:r>
              <w:rPr>
                <w:rFonts w:hint="eastAsia" w:ascii="宋体" w:hAnsi="宋体" w:eastAsia="宋体" w:cs="宋体"/>
                <w:color w:val="auto"/>
                <w:kern w:val="0"/>
                <w:sz w:val="22"/>
                <w:szCs w:val="22"/>
                <w:lang w:val="en-US" w:eastAsia="zh-CN"/>
              </w:rPr>
              <w:t>100%</w:t>
            </w:r>
          </w:p>
        </w:tc>
        <w:tc>
          <w:tcPr>
            <w:tcW w:w="1566" w:type="dxa"/>
            <w:vAlign w:val="top"/>
          </w:tcPr>
          <w:p>
            <w:pPr>
              <w:widowControl/>
              <w:numPr>
                <w:ilvl w:val="0"/>
                <w:numId w:val="0"/>
              </w:numPr>
              <w:spacing w:line="360" w:lineRule="exact"/>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1</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lang w:eastAsia="zh-CN"/>
              </w:rPr>
              <w:t>立项项目</w:t>
            </w:r>
            <w:r>
              <w:rPr>
                <w:rFonts w:hint="eastAsia" w:ascii="宋体" w:hAnsi="宋体" w:eastAsia="宋体" w:cs="宋体"/>
                <w:color w:val="auto"/>
                <w:kern w:val="0"/>
                <w:sz w:val="22"/>
                <w:szCs w:val="22"/>
                <w:lang w:val="en-US" w:eastAsia="zh-CN"/>
              </w:rPr>
              <w:t>100%</w:t>
            </w:r>
            <w:r>
              <w:rPr>
                <w:rFonts w:hint="eastAsia" w:ascii="宋体" w:hAnsi="宋体" w:eastAsia="宋体" w:cs="宋体"/>
                <w:color w:val="auto"/>
                <w:kern w:val="0"/>
                <w:sz w:val="22"/>
                <w:szCs w:val="22"/>
                <w:lang w:eastAsia="zh-CN"/>
              </w:rPr>
              <w:t>符合北部湾办发〔201</w:t>
            </w:r>
            <w:r>
              <w:rPr>
                <w:rFonts w:hint="eastAsia" w:ascii="宋体" w:hAnsi="宋体" w:eastAsia="宋体" w:cs="宋体"/>
                <w:color w:val="auto"/>
                <w:kern w:val="0"/>
                <w:sz w:val="22"/>
                <w:szCs w:val="22"/>
                <w:lang w:val="en-US" w:eastAsia="zh-CN"/>
              </w:rPr>
              <w:t>9</w:t>
            </w:r>
            <w:r>
              <w:rPr>
                <w:rFonts w:hint="eastAsia" w:ascii="宋体" w:hAnsi="宋体" w:eastAsia="宋体" w:cs="宋体"/>
                <w:color w:val="auto"/>
                <w:kern w:val="0"/>
                <w:sz w:val="22"/>
                <w:szCs w:val="22"/>
                <w:lang w:eastAsia="zh-CN"/>
              </w:rPr>
              <w:t>〕56号、北部湾办发〔2018〕74号要求</w:t>
            </w:r>
          </w:p>
          <w:p>
            <w:pPr>
              <w:widowControl/>
              <w:numPr>
                <w:ilvl w:val="0"/>
                <w:numId w:val="0"/>
              </w:numPr>
              <w:spacing w:line="360" w:lineRule="exact"/>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lang w:eastAsia="zh-CN"/>
              </w:rPr>
              <w:t>）</w:t>
            </w:r>
            <w:r>
              <w:rPr>
                <w:rFonts w:hint="eastAsia" w:ascii="宋体" w:hAnsi="宋体" w:eastAsia="宋体" w:cs="宋体"/>
                <w:color w:val="auto"/>
                <w:kern w:val="0"/>
                <w:sz w:val="22"/>
                <w:szCs w:val="22"/>
                <w:lang w:eastAsia="zh-CN"/>
              </w:rPr>
              <w:t>项目</w:t>
            </w:r>
            <w:r>
              <w:rPr>
                <w:rFonts w:hint="eastAsia" w:ascii="宋体" w:hAnsi="宋体" w:eastAsia="宋体" w:cs="宋体"/>
                <w:color w:val="auto"/>
                <w:kern w:val="0"/>
                <w:sz w:val="22"/>
                <w:szCs w:val="22"/>
                <w:lang w:val="en-US" w:eastAsia="zh-CN"/>
              </w:rPr>
              <w:t>100%</w:t>
            </w:r>
            <w:r>
              <w:rPr>
                <w:rFonts w:hint="eastAsia" w:ascii="宋体" w:hAnsi="宋体" w:eastAsia="宋体" w:cs="宋体"/>
                <w:color w:val="auto"/>
                <w:kern w:val="0"/>
                <w:sz w:val="22"/>
                <w:szCs w:val="22"/>
                <w:lang w:eastAsia="zh-CN"/>
              </w:rPr>
              <w:t>覆盖北部湾经济开发区相关</w:t>
            </w:r>
            <w:r>
              <w:rPr>
                <w:rFonts w:hint="eastAsia" w:ascii="宋体" w:hAnsi="宋体" w:eastAsia="宋体" w:cs="宋体"/>
                <w:color w:val="auto"/>
                <w:kern w:val="0"/>
                <w:sz w:val="22"/>
                <w:szCs w:val="22"/>
                <w:lang w:val="en-US" w:eastAsia="zh-CN"/>
              </w:rPr>
              <w:t>6市</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）项目期满验收</w:t>
            </w:r>
            <w:r>
              <w:rPr>
                <w:rFonts w:hint="eastAsia" w:cs="宋体"/>
                <w:color w:val="auto"/>
                <w:kern w:val="0"/>
                <w:sz w:val="22"/>
                <w:szCs w:val="22"/>
                <w:lang w:eastAsia="zh-CN"/>
              </w:rPr>
              <w:t>基本</w:t>
            </w:r>
            <w:r>
              <w:rPr>
                <w:rFonts w:hint="eastAsia" w:ascii="宋体" w:hAnsi="宋体" w:eastAsia="宋体" w:cs="宋体"/>
                <w:color w:val="auto"/>
                <w:kern w:val="0"/>
                <w:sz w:val="22"/>
                <w:szCs w:val="22"/>
                <w:lang w:eastAsia="zh-CN"/>
              </w:rPr>
              <w:t>合格</w:t>
            </w:r>
          </w:p>
        </w:tc>
        <w:tc>
          <w:tcPr>
            <w:tcW w:w="2417" w:type="dxa"/>
            <w:gridSpan w:val="2"/>
            <w:vAlign w:val="top"/>
          </w:tcPr>
          <w:p>
            <w:pPr>
              <w:pStyle w:val="11"/>
              <w:jc w:val="left"/>
              <w:rPr>
                <w:rFonts w:hint="eastAsia" w:ascii="宋体" w:hAnsi="宋体" w:eastAsia="宋体" w:cs="宋体"/>
                <w:color w:val="auto"/>
                <w:sz w:val="22"/>
                <w:szCs w:val="22"/>
              </w:rPr>
            </w:pPr>
          </w:p>
          <w:p>
            <w:pPr>
              <w:pStyle w:val="11"/>
              <w:jc w:val="left"/>
              <w:rPr>
                <w:rFonts w:hint="eastAsia" w:ascii="宋体" w:hAnsi="宋体" w:eastAsia="宋体" w:cs="宋体"/>
                <w:color w:val="auto"/>
                <w:sz w:val="22"/>
                <w:szCs w:val="22"/>
              </w:rPr>
            </w:pP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highlight w:val="none"/>
              </w:rPr>
              <w:t>产出时效</w:t>
            </w: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按照合同约定</w:t>
            </w:r>
            <w:r>
              <w:rPr>
                <w:rFonts w:hint="eastAsia" w:ascii="宋体" w:hAnsi="宋体" w:eastAsia="宋体" w:cs="宋体"/>
                <w:color w:val="auto"/>
                <w:kern w:val="0"/>
                <w:sz w:val="22"/>
                <w:szCs w:val="22"/>
                <w:lang w:val="en-US" w:eastAsia="zh-CN"/>
              </w:rPr>
              <w:t>或</w:t>
            </w:r>
            <w:r>
              <w:rPr>
                <w:rFonts w:hint="eastAsia" w:ascii="宋体" w:hAnsi="宋体" w:eastAsia="宋体" w:cs="宋体"/>
                <w:color w:val="auto"/>
                <w:kern w:val="0"/>
                <w:sz w:val="22"/>
                <w:szCs w:val="22"/>
              </w:rPr>
              <w:t>工作计划推进</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2020年12月31日前</w:t>
            </w:r>
          </w:p>
        </w:tc>
        <w:tc>
          <w:tcPr>
            <w:tcW w:w="1566" w:type="dxa"/>
            <w:vAlign w:val="top"/>
          </w:tcPr>
          <w:p>
            <w:pPr>
              <w:pStyle w:val="11"/>
              <w:jc w:val="left"/>
              <w:rPr>
                <w:rFonts w:hint="eastAsia" w:ascii="宋体" w:hAnsi="宋体" w:eastAsia="宋体" w:cs="宋体"/>
                <w:color w:val="auto"/>
                <w:sz w:val="22"/>
                <w:szCs w:val="22"/>
              </w:rPr>
            </w:pPr>
            <w:r>
              <w:rPr>
                <w:rFonts w:hint="eastAsia" w:cs="宋体"/>
                <w:color w:val="auto"/>
                <w:kern w:val="0"/>
                <w:sz w:val="22"/>
                <w:szCs w:val="22"/>
                <w:lang w:val="en-US" w:eastAsia="zh-CN"/>
              </w:rPr>
              <w:t>大部分项目</w:t>
            </w:r>
            <w:r>
              <w:rPr>
                <w:rFonts w:hint="eastAsia" w:ascii="宋体" w:hAnsi="宋体" w:eastAsia="宋体" w:cs="宋体"/>
                <w:color w:val="auto"/>
                <w:kern w:val="0"/>
                <w:sz w:val="22"/>
                <w:szCs w:val="22"/>
              </w:rPr>
              <w:t>按照合同约定</w:t>
            </w:r>
            <w:r>
              <w:rPr>
                <w:rFonts w:hint="eastAsia" w:ascii="宋体" w:hAnsi="宋体" w:eastAsia="宋体" w:cs="宋体"/>
                <w:color w:val="auto"/>
                <w:kern w:val="0"/>
                <w:sz w:val="22"/>
                <w:szCs w:val="22"/>
                <w:lang w:val="en-US" w:eastAsia="zh-CN"/>
              </w:rPr>
              <w:t>或</w:t>
            </w:r>
            <w:r>
              <w:rPr>
                <w:rFonts w:hint="eastAsia" w:ascii="宋体" w:hAnsi="宋体" w:eastAsia="宋体" w:cs="宋体"/>
                <w:color w:val="auto"/>
                <w:kern w:val="0"/>
                <w:sz w:val="22"/>
                <w:szCs w:val="22"/>
              </w:rPr>
              <w:t>工作计划推进</w:t>
            </w:r>
            <w:r>
              <w:rPr>
                <w:rFonts w:hint="eastAsia" w:cs="宋体"/>
                <w:color w:val="auto"/>
                <w:kern w:val="0"/>
                <w:sz w:val="22"/>
                <w:szCs w:val="22"/>
                <w:lang w:eastAsia="zh-CN"/>
              </w:rPr>
              <w:t>，</w:t>
            </w:r>
            <w:r>
              <w:rPr>
                <w:rFonts w:hint="eastAsia" w:cs="宋体"/>
                <w:color w:val="auto"/>
                <w:kern w:val="0"/>
                <w:sz w:val="22"/>
                <w:szCs w:val="22"/>
                <w:lang w:val="en-US" w:eastAsia="zh-CN"/>
              </w:rPr>
              <w:t>在</w:t>
            </w:r>
            <w:r>
              <w:rPr>
                <w:rFonts w:hint="eastAsia" w:ascii="宋体" w:hAnsi="宋体" w:eastAsia="宋体" w:cs="宋体"/>
                <w:color w:val="auto"/>
                <w:kern w:val="0"/>
                <w:sz w:val="22"/>
                <w:szCs w:val="22"/>
                <w:lang w:val="en-US" w:eastAsia="zh-CN"/>
              </w:rPr>
              <w:t>2020年12月31日前</w:t>
            </w:r>
            <w:r>
              <w:rPr>
                <w:rFonts w:hint="eastAsia" w:cs="宋体"/>
                <w:color w:val="auto"/>
                <w:kern w:val="0"/>
                <w:sz w:val="22"/>
                <w:szCs w:val="22"/>
                <w:lang w:val="en-US" w:eastAsia="zh-CN"/>
              </w:rPr>
              <w:t>完成任务目标，个别项目未及时完工</w:t>
            </w:r>
          </w:p>
        </w:tc>
        <w:tc>
          <w:tcPr>
            <w:tcW w:w="2417" w:type="dxa"/>
            <w:gridSpan w:val="2"/>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1.《建设北钦防一体化发展智库》项目由于疫情影响推迟了2个月时间调研，影响了整体项目进度。</w:t>
            </w:r>
          </w:p>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2.西部陆海新通道跨境贸易通关监管监测预警体系建设(二期）尚未通过发改委立项，进度延期。</w:t>
            </w:r>
          </w:p>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上述问题共计酌情扣</w:t>
            </w:r>
            <w:r>
              <w:rPr>
                <w:rFonts w:hint="eastAsia" w:cs="宋体"/>
                <w:color w:val="auto"/>
                <w:sz w:val="22"/>
                <w:szCs w:val="22"/>
                <w:lang w:val="en-US" w:eastAsia="zh-CN"/>
              </w:rPr>
              <w:t>2</w:t>
            </w:r>
            <w:r>
              <w:rPr>
                <w:rFonts w:hint="eastAsia" w:ascii="宋体" w:hAnsi="宋体" w:eastAsia="宋体" w:cs="宋体"/>
                <w:color w:val="auto"/>
                <w:sz w:val="22"/>
                <w:szCs w:val="22"/>
              </w:rPr>
              <w:t>分</w:t>
            </w:r>
          </w:p>
        </w:tc>
        <w:tc>
          <w:tcPr>
            <w:tcW w:w="938" w:type="dxa"/>
            <w:vAlign w:val="center"/>
          </w:tcPr>
          <w:p>
            <w:pPr>
              <w:pStyle w:val="11"/>
              <w:jc w:val="center"/>
              <w:rPr>
                <w:rFonts w:hint="eastAsia" w:ascii="宋体" w:hAnsi="宋体" w:eastAsia="宋体" w:cs="宋体"/>
                <w:color w:val="auto"/>
                <w:sz w:val="22"/>
                <w:szCs w:val="22"/>
                <w:lang w:val="en-US" w:eastAsia="zh-CN"/>
              </w:rPr>
            </w:pPr>
            <w:r>
              <w:rPr>
                <w:rFonts w:hint="eastAsia" w:cs="宋体"/>
                <w:color w:val="auto"/>
                <w:sz w:val="22"/>
                <w:szCs w:val="22"/>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产出成本</w:t>
            </w: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项目建设经费</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90928.85万元</w:t>
            </w:r>
          </w:p>
        </w:tc>
        <w:tc>
          <w:tcPr>
            <w:tcW w:w="156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90928.85万元</w:t>
            </w: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restart"/>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效果指标（30分）</w:t>
            </w: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经济效益</w:t>
            </w:r>
          </w:p>
        </w:tc>
        <w:tc>
          <w:tcPr>
            <w:tcW w:w="886" w:type="dxa"/>
            <w:vAlign w:val="top"/>
          </w:tcPr>
          <w:p>
            <w:pPr>
              <w:pStyle w:val="11"/>
              <w:numPr>
                <w:ilvl w:val="0"/>
                <w:numId w:val="2"/>
              </w:numPr>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北部湾经济开发区投资增长；</w:t>
            </w:r>
          </w:p>
          <w:p>
            <w:pPr>
              <w:pStyle w:val="11"/>
              <w:numPr>
                <w:ilvl w:val="0"/>
                <w:numId w:val="0"/>
              </w:numPr>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（2）港口经济指标增长</w:t>
            </w:r>
          </w:p>
        </w:tc>
        <w:tc>
          <w:tcPr>
            <w:tcW w:w="1600" w:type="dxa"/>
            <w:vAlign w:val="top"/>
          </w:tcPr>
          <w:p>
            <w:pPr>
              <w:pStyle w:val="11"/>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（1）总量增长（剔除不可抗力因素、上级调整因素）；</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（2）港口货物吞吐量、集装箱较2019年有增长</w:t>
            </w:r>
          </w:p>
        </w:tc>
        <w:tc>
          <w:tcPr>
            <w:tcW w:w="1566" w:type="dxa"/>
            <w:vAlign w:val="top"/>
          </w:tcPr>
          <w:p>
            <w:pPr>
              <w:pStyle w:val="11"/>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（1）总量增长（剔除不可抗力因素、上级调整因素）；</w:t>
            </w:r>
          </w:p>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（2）港口货物吞吐量、集装箱较2019年有增长</w:t>
            </w: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社会效益</w:t>
            </w: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（1）改善北部湾经济区基础设施；（2）高端人才引育效率提升；（3）智库服务水平提升；（4）“海创展”、贸促会组织的高端活动影响力扩大；（5）自贸区对企业吸引力增强</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港口、航道等基础设施进一步完善；（2）引育一批高层次人才；（3）智库成果被采纳或领导批示或公开出版2次以上；（4）“海创展”、贸促会高端活动累计参加人数达2万以上；（5）入驻自贸区企业总数增加</w:t>
            </w:r>
          </w:p>
        </w:tc>
        <w:tc>
          <w:tcPr>
            <w:tcW w:w="156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港口、航道等基础设施进一步完善；（2）引育一批高层次人才；（3）智库成果被采纳或领导批示或公开出版2次以上；（4）“海创展”、贸促会高端活动累计参加人数达2万以上；（5）入驻自贸区企业总数增加</w:t>
            </w:r>
          </w:p>
        </w:tc>
        <w:tc>
          <w:tcPr>
            <w:tcW w:w="2417" w:type="dxa"/>
            <w:gridSpan w:val="2"/>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1.“海创展”自治区重大人才平台服务建设--2020年海内外高端人才创新创业项目，专家园区行活动取消，部分专家提前返程。</w:t>
            </w:r>
          </w:p>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2.“海创展”自治区重大人才联台服务建设—海内外高端人才创新创业成果展暨交流洽谈会，受疫情的影响，到现场参加开幕式和会展等各项活动的嘉宾和观众数量减少。</w:t>
            </w:r>
          </w:p>
          <w:p>
            <w:pPr>
              <w:pStyle w:val="11"/>
              <w:jc w:val="left"/>
              <w:rPr>
                <w:rFonts w:hint="eastAsia" w:ascii="宋体" w:hAnsi="宋体" w:eastAsia="宋体" w:cs="宋体"/>
                <w:color w:val="auto"/>
                <w:sz w:val="22"/>
                <w:szCs w:val="22"/>
              </w:rPr>
            </w:pPr>
            <w:r>
              <w:rPr>
                <w:rFonts w:hint="eastAsia" w:ascii="宋体" w:hAnsi="宋体" w:eastAsia="宋体" w:cs="宋体"/>
                <w:color w:val="auto"/>
                <w:sz w:val="22"/>
                <w:szCs w:val="22"/>
              </w:rPr>
              <w:t>本项累计酌情扣1分。</w:t>
            </w: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生态效益</w:t>
            </w: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涉及环境影响的项目的环评合格率</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100%合格并通过环评</w:t>
            </w:r>
          </w:p>
        </w:tc>
        <w:tc>
          <w:tcPr>
            <w:tcW w:w="1566" w:type="dxa"/>
            <w:vAlign w:val="top"/>
          </w:tcPr>
          <w:p>
            <w:pPr>
              <w:pStyle w:val="11"/>
              <w:jc w:val="left"/>
              <w:rPr>
                <w:rFonts w:hint="eastAsia" w:ascii="宋体" w:hAnsi="宋体" w:eastAsia="宋体" w:cs="宋体"/>
                <w:color w:val="auto"/>
                <w:sz w:val="22"/>
                <w:szCs w:val="22"/>
              </w:rPr>
            </w:pPr>
            <w:r>
              <w:rPr>
                <w:rFonts w:hint="eastAsia" w:cs="宋体"/>
                <w:color w:val="auto"/>
                <w:kern w:val="0"/>
                <w:sz w:val="22"/>
                <w:szCs w:val="22"/>
                <w:lang w:val="en-US" w:eastAsia="zh-CN"/>
              </w:rPr>
              <w:t>及环评的项目对环境无不良影响，</w:t>
            </w:r>
            <w:r>
              <w:rPr>
                <w:rFonts w:hint="eastAsia" w:ascii="宋体" w:hAnsi="宋体" w:eastAsia="宋体" w:cs="宋体"/>
                <w:color w:val="auto"/>
                <w:kern w:val="0"/>
                <w:sz w:val="22"/>
                <w:szCs w:val="22"/>
                <w:lang w:val="en-US" w:eastAsia="zh-CN"/>
              </w:rPr>
              <w:t>并通过环评</w:t>
            </w: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可持续影响</w:t>
            </w:r>
          </w:p>
        </w:tc>
        <w:tc>
          <w:tcPr>
            <w:tcW w:w="886" w:type="dxa"/>
            <w:vAlign w:val="top"/>
          </w:tcPr>
          <w:p>
            <w:pPr>
              <w:pStyle w:val="11"/>
              <w:jc w:val="left"/>
              <w:rPr>
                <w:rFonts w:hint="eastAsia" w:ascii="宋体" w:hAnsi="宋体" w:eastAsia="宋体" w:cs="宋体"/>
                <w:color w:val="auto"/>
                <w:sz w:val="22"/>
                <w:szCs w:val="22"/>
              </w:rPr>
            </w:pPr>
          </w:p>
        </w:tc>
        <w:tc>
          <w:tcPr>
            <w:tcW w:w="1600" w:type="dxa"/>
            <w:vAlign w:val="top"/>
          </w:tcPr>
          <w:p>
            <w:pPr>
              <w:pStyle w:val="11"/>
              <w:jc w:val="left"/>
              <w:rPr>
                <w:rFonts w:hint="eastAsia" w:ascii="宋体" w:hAnsi="宋体" w:eastAsia="宋体" w:cs="宋体"/>
                <w:color w:val="auto"/>
                <w:sz w:val="22"/>
                <w:szCs w:val="22"/>
              </w:rPr>
            </w:pPr>
          </w:p>
        </w:tc>
        <w:tc>
          <w:tcPr>
            <w:tcW w:w="1566" w:type="dxa"/>
            <w:vAlign w:val="top"/>
          </w:tcPr>
          <w:p>
            <w:pPr>
              <w:pStyle w:val="11"/>
              <w:jc w:val="left"/>
              <w:rPr>
                <w:rFonts w:hint="eastAsia" w:ascii="宋体" w:hAnsi="宋体" w:eastAsia="宋体" w:cs="宋体"/>
                <w:color w:val="auto"/>
                <w:sz w:val="22"/>
                <w:szCs w:val="22"/>
              </w:rPr>
            </w:pP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top"/>
          </w:tcPr>
          <w:p>
            <w:pPr>
              <w:pStyle w:val="11"/>
              <w:jc w:val="left"/>
              <w:rPr>
                <w:rFonts w:hint="eastAsia"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restart"/>
            <w:vAlign w:val="center"/>
          </w:tcPr>
          <w:p>
            <w:pPr>
              <w:widowControl/>
              <w:jc w:val="center"/>
              <w:rPr>
                <w:rFonts w:hint="eastAsia" w:ascii="宋体" w:hAnsi="宋体" w:eastAsia="宋体" w:cs="宋体"/>
                <w:b/>
                <w:color w:val="auto"/>
                <w:sz w:val="22"/>
                <w:szCs w:val="22"/>
              </w:rPr>
            </w:pPr>
            <w:r>
              <w:rPr>
                <w:rFonts w:hint="eastAsia" w:ascii="宋体" w:hAnsi="宋体" w:eastAsia="宋体" w:cs="宋体"/>
                <w:b/>
                <w:bCs/>
                <w:color w:val="auto"/>
                <w:kern w:val="0"/>
                <w:sz w:val="22"/>
                <w:szCs w:val="22"/>
              </w:rPr>
              <w:t>社会公众或服务对象满意度（10分）</w:t>
            </w:r>
          </w:p>
        </w:tc>
        <w:tc>
          <w:tcPr>
            <w:tcW w:w="1064" w:type="dxa"/>
            <w:vMerge w:val="restart"/>
            <w:vAlign w:val="center"/>
          </w:tcPr>
          <w:p>
            <w:pPr>
              <w:widowControl/>
              <w:jc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受益对象</w:t>
            </w:r>
            <w:r>
              <w:rPr>
                <w:rFonts w:hint="eastAsia" w:ascii="宋体" w:hAnsi="宋体" w:eastAsia="宋体" w:cs="宋体"/>
                <w:color w:val="auto"/>
                <w:kern w:val="0"/>
                <w:sz w:val="22"/>
                <w:szCs w:val="22"/>
              </w:rPr>
              <w:t>满意度</w:t>
            </w: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受益企业</w:t>
            </w:r>
            <w:r>
              <w:rPr>
                <w:rFonts w:hint="eastAsia" w:ascii="宋体" w:hAnsi="宋体" w:eastAsia="宋体" w:cs="宋体"/>
                <w:color w:val="auto"/>
                <w:kern w:val="0"/>
                <w:sz w:val="22"/>
                <w:szCs w:val="22"/>
              </w:rPr>
              <w:t>满意度</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8</w:t>
            </w:r>
            <w:r>
              <w:rPr>
                <w:rFonts w:hint="eastAsia" w:ascii="宋体" w:hAnsi="宋体" w:eastAsia="宋体" w:cs="宋体"/>
                <w:color w:val="auto"/>
                <w:kern w:val="0"/>
                <w:sz w:val="22"/>
                <w:szCs w:val="22"/>
                <w:lang w:val="en-US" w:eastAsia="zh-CN"/>
              </w:rPr>
              <w:t>0</w:t>
            </w:r>
            <w:r>
              <w:rPr>
                <w:rFonts w:hint="eastAsia" w:ascii="宋体" w:hAnsi="宋体" w:eastAsia="宋体" w:cs="宋体"/>
                <w:color w:val="auto"/>
                <w:kern w:val="0"/>
                <w:sz w:val="22"/>
                <w:szCs w:val="22"/>
              </w:rPr>
              <w:t>%以上。</w:t>
            </w:r>
          </w:p>
        </w:tc>
        <w:tc>
          <w:tcPr>
            <w:tcW w:w="156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已进行受益</w:t>
            </w:r>
            <w:r>
              <w:rPr>
                <w:rFonts w:hint="eastAsia" w:cs="宋体"/>
                <w:color w:val="auto"/>
                <w:kern w:val="0"/>
                <w:sz w:val="22"/>
                <w:szCs w:val="22"/>
                <w:lang w:eastAsia="zh-CN"/>
              </w:rPr>
              <w:t>企业</w:t>
            </w:r>
            <w:r>
              <w:rPr>
                <w:rFonts w:hint="eastAsia" w:ascii="宋体" w:hAnsi="宋体" w:eastAsia="宋体" w:cs="宋体"/>
                <w:color w:val="auto"/>
                <w:kern w:val="0"/>
                <w:sz w:val="22"/>
                <w:szCs w:val="22"/>
              </w:rPr>
              <w:t>满意度调查项目的满意度均在80%以上</w:t>
            </w:r>
            <w:r>
              <w:rPr>
                <w:rFonts w:hint="eastAsia" w:cs="宋体"/>
                <w:color w:val="auto"/>
                <w:kern w:val="0"/>
                <w:sz w:val="22"/>
                <w:szCs w:val="22"/>
                <w:lang w:eastAsia="zh-CN"/>
              </w:rPr>
              <w:t>。</w:t>
            </w:r>
          </w:p>
        </w:tc>
        <w:tc>
          <w:tcPr>
            <w:tcW w:w="2417" w:type="dxa"/>
            <w:gridSpan w:val="2"/>
            <w:vMerge w:val="restart"/>
            <w:vAlign w:val="top"/>
          </w:tcPr>
          <w:p>
            <w:pPr>
              <w:pStyle w:val="11"/>
              <w:jc w:val="left"/>
              <w:rPr>
                <w:rFonts w:hint="eastAsia" w:ascii="宋体" w:hAnsi="宋体" w:eastAsia="宋体" w:cs="宋体"/>
                <w:color w:val="auto"/>
                <w:sz w:val="22"/>
                <w:szCs w:val="22"/>
              </w:rPr>
            </w:pPr>
          </w:p>
        </w:tc>
        <w:tc>
          <w:tcPr>
            <w:tcW w:w="938" w:type="dxa"/>
            <w:vMerge w:val="restart"/>
            <w:vAlign w:val="center"/>
          </w:tcPr>
          <w:p>
            <w:pPr>
              <w:pStyle w:val="11"/>
              <w:jc w:val="center"/>
              <w:rPr>
                <w:rFonts w:hint="default" w:ascii="宋体" w:hAnsi="宋体" w:eastAsia="宋体" w:cs="宋体"/>
                <w:color w:val="auto"/>
                <w:sz w:val="22"/>
                <w:szCs w:val="22"/>
                <w:lang w:val="en-US" w:eastAsia="zh-CN"/>
              </w:rPr>
            </w:pPr>
            <w:r>
              <w:rPr>
                <w:rFonts w:hint="eastAsia" w:cs="宋体"/>
                <w:color w:val="auto"/>
                <w:sz w:val="22"/>
                <w:szCs w:val="22"/>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Merge w:val="continue"/>
            <w:vAlign w:val="top"/>
          </w:tcPr>
          <w:p>
            <w:pPr>
              <w:pStyle w:val="11"/>
              <w:spacing w:before="24"/>
              <w:ind w:left="186" w:right="176"/>
              <w:jc w:val="left"/>
              <w:rPr>
                <w:rFonts w:hint="eastAsia" w:ascii="宋体" w:hAnsi="宋体" w:eastAsia="宋体" w:cs="宋体"/>
                <w:color w:val="auto"/>
                <w:sz w:val="22"/>
                <w:szCs w:val="22"/>
              </w:rPr>
            </w:pPr>
          </w:p>
        </w:tc>
        <w:tc>
          <w:tcPr>
            <w:tcW w:w="88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lang w:eastAsia="zh-CN"/>
              </w:rPr>
              <w:t>受益群众满意度</w:t>
            </w:r>
          </w:p>
        </w:tc>
        <w:tc>
          <w:tcPr>
            <w:tcW w:w="1600"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8</w:t>
            </w:r>
            <w:r>
              <w:rPr>
                <w:rFonts w:hint="eastAsia" w:ascii="宋体" w:hAnsi="宋体" w:eastAsia="宋体" w:cs="宋体"/>
                <w:color w:val="auto"/>
                <w:kern w:val="0"/>
                <w:sz w:val="22"/>
                <w:szCs w:val="22"/>
                <w:lang w:val="en-US" w:eastAsia="zh-CN"/>
              </w:rPr>
              <w:t>0</w:t>
            </w:r>
            <w:r>
              <w:rPr>
                <w:rFonts w:hint="eastAsia" w:ascii="宋体" w:hAnsi="宋体" w:eastAsia="宋体" w:cs="宋体"/>
                <w:color w:val="auto"/>
                <w:kern w:val="0"/>
                <w:sz w:val="22"/>
                <w:szCs w:val="22"/>
              </w:rPr>
              <w:t>%以上。</w:t>
            </w:r>
          </w:p>
        </w:tc>
        <w:tc>
          <w:tcPr>
            <w:tcW w:w="1566" w:type="dxa"/>
            <w:vAlign w:val="top"/>
          </w:tcPr>
          <w:p>
            <w:pPr>
              <w:pStyle w:val="11"/>
              <w:jc w:val="left"/>
              <w:rPr>
                <w:rFonts w:hint="eastAsia" w:ascii="宋体" w:hAnsi="宋体" w:eastAsia="宋体" w:cs="宋体"/>
                <w:color w:val="auto"/>
                <w:sz w:val="22"/>
                <w:szCs w:val="22"/>
              </w:rPr>
            </w:pPr>
            <w:r>
              <w:rPr>
                <w:rFonts w:hint="eastAsia" w:ascii="宋体" w:hAnsi="宋体" w:eastAsia="宋体" w:cs="宋体"/>
                <w:color w:val="auto"/>
                <w:kern w:val="0"/>
                <w:sz w:val="22"/>
                <w:szCs w:val="22"/>
              </w:rPr>
              <w:t>已进行受益</w:t>
            </w:r>
            <w:r>
              <w:rPr>
                <w:rFonts w:hint="eastAsia" w:cs="宋体"/>
                <w:color w:val="auto"/>
                <w:kern w:val="0"/>
                <w:sz w:val="22"/>
                <w:szCs w:val="22"/>
                <w:lang w:eastAsia="zh-CN"/>
              </w:rPr>
              <w:t>群众</w:t>
            </w:r>
            <w:r>
              <w:rPr>
                <w:rFonts w:hint="eastAsia" w:ascii="宋体" w:hAnsi="宋体" w:eastAsia="宋体" w:cs="宋体"/>
                <w:color w:val="auto"/>
                <w:kern w:val="0"/>
                <w:sz w:val="22"/>
                <w:szCs w:val="22"/>
              </w:rPr>
              <w:t>满意度调查项目的满意度均在80%以上</w:t>
            </w:r>
            <w:r>
              <w:rPr>
                <w:rFonts w:hint="eastAsia" w:cs="宋体"/>
                <w:color w:val="auto"/>
                <w:kern w:val="0"/>
                <w:sz w:val="22"/>
                <w:szCs w:val="22"/>
                <w:lang w:eastAsia="zh-CN"/>
              </w:rPr>
              <w:t>。</w:t>
            </w:r>
          </w:p>
        </w:tc>
        <w:tc>
          <w:tcPr>
            <w:tcW w:w="2417" w:type="dxa"/>
            <w:gridSpan w:val="2"/>
            <w:vMerge w:val="continue"/>
            <w:vAlign w:val="top"/>
          </w:tcPr>
          <w:p>
            <w:pPr>
              <w:pStyle w:val="11"/>
              <w:jc w:val="left"/>
              <w:rPr>
                <w:rFonts w:hint="eastAsia" w:ascii="宋体" w:hAnsi="宋体" w:eastAsia="宋体" w:cs="宋体"/>
                <w:color w:val="auto"/>
                <w:sz w:val="22"/>
                <w:szCs w:val="22"/>
              </w:rPr>
            </w:pPr>
          </w:p>
        </w:tc>
        <w:tc>
          <w:tcPr>
            <w:tcW w:w="938" w:type="dxa"/>
            <w:vMerge w:val="continue"/>
            <w:vAlign w:val="center"/>
          </w:tcPr>
          <w:p>
            <w:pPr>
              <w:pStyle w:val="11"/>
              <w:jc w:val="center"/>
              <w:rPr>
                <w:rFonts w:hint="eastAsia" w:ascii="宋体" w:hAnsi="宋体" w:eastAsia="宋体" w:cs="宋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902" w:type="dxa"/>
            <w:vMerge w:val="continue"/>
            <w:tcBorders>
              <w:top w:val="nil"/>
            </w:tcBorders>
            <w:vAlign w:val="top"/>
          </w:tcPr>
          <w:p>
            <w:pPr>
              <w:jc w:val="left"/>
              <w:rPr>
                <w:rFonts w:hint="eastAsia" w:ascii="宋体" w:hAnsi="宋体" w:eastAsia="宋体" w:cs="宋体"/>
                <w:color w:val="auto"/>
                <w:sz w:val="22"/>
                <w:szCs w:val="22"/>
              </w:rPr>
            </w:pPr>
          </w:p>
        </w:tc>
        <w:tc>
          <w:tcPr>
            <w:tcW w:w="984" w:type="dxa"/>
            <w:vMerge w:val="continue"/>
            <w:tcBorders>
              <w:top w:val="nil"/>
            </w:tcBorders>
            <w:vAlign w:val="top"/>
          </w:tcPr>
          <w:p>
            <w:pPr>
              <w:jc w:val="left"/>
              <w:rPr>
                <w:rFonts w:hint="eastAsia" w:ascii="宋体" w:hAnsi="宋体" w:eastAsia="宋体" w:cs="宋体"/>
                <w:color w:val="auto"/>
                <w:sz w:val="22"/>
                <w:szCs w:val="22"/>
              </w:rPr>
            </w:pPr>
          </w:p>
        </w:tc>
        <w:tc>
          <w:tcPr>
            <w:tcW w:w="1064" w:type="dxa"/>
            <w:vMerge w:val="continue"/>
            <w:vAlign w:val="top"/>
          </w:tcPr>
          <w:p>
            <w:pPr>
              <w:pStyle w:val="11"/>
              <w:spacing w:before="25"/>
              <w:ind w:left="186" w:right="176"/>
              <w:jc w:val="left"/>
              <w:rPr>
                <w:rFonts w:hint="eastAsia" w:ascii="宋体" w:hAnsi="宋体" w:eastAsia="宋体" w:cs="宋体"/>
                <w:color w:val="auto"/>
                <w:sz w:val="22"/>
                <w:szCs w:val="22"/>
              </w:rPr>
            </w:pPr>
          </w:p>
        </w:tc>
        <w:tc>
          <w:tcPr>
            <w:tcW w:w="886" w:type="dxa"/>
            <w:vAlign w:val="top"/>
          </w:tcPr>
          <w:p>
            <w:pPr>
              <w:pStyle w:val="11"/>
              <w:jc w:val="left"/>
              <w:rPr>
                <w:rFonts w:hint="eastAsia" w:ascii="宋体" w:hAnsi="宋体" w:eastAsia="宋体" w:cs="宋体"/>
                <w:color w:val="auto"/>
                <w:sz w:val="22"/>
                <w:szCs w:val="22"/>
              </w:rPr>
            </w:pPr>
          </w:p>
        </w:tc>
        <w:tc>
          <w:tcPr>
            <w:tcW w:w="1600" w:type="dxa"/>
            <w:vAlign w:val="top"/>
          </w:tcPr>
          <w:p>
            <w:pPr>
              <w:pStyle w:val="11"/>
              <w:jc w:val="left"/>
              <w:rPr>
                <w:rFonts w:hint="eastAsia" w:ascii="宋体" w:hAnsi="宋体" w:eastAsia="宋体" w:cs="宋体"/>
                <w:color w:val="auto"/>
                <w:sz w:val="22"/>
                <w:szCs w:val="22"/>
              </w:rPr>
            </w:pPr>
          </w:p>
        </w:tc>
        <w:tc>
          <w:tcPr>
            <w:tcW w:w="1566" w:type="dxa"/>
            <w:vAlign w:val="top"/>
          </w:tcPr>
          <w:p>
            <w:pPr>
              <w:pStyle w:val="11"/>
              <w:jc w:val="left"/>
              <w:rPr>
                <w:rFonts w:hint="eastAsia" w:ascii="宋体" w:hAnsi="宋体" w:eastAsia="宋体" w:cs="宋体"/>
                <w:color w:val="auto"/>
                <w:sz w:val="22"/>
                <w:szCs w:val="22"/>
              </w:rPr>
            </w:pPr>
          </w:p>
        </w:tc>
        <w:tc>
          <w:tcPr>
            <w:tcW w:w="2417" w:type="dxa"/>
            <w:gridSpan w:val="2"/>
            <w:vAlign w:val="top"/>
          </w:tcPr>
          <w:p>
            <w:pPr>
              <w:pStyle w:val="11"/>
              <w:jc w:val="left"/>
              <w:rPr>
                <w:rFonts w:hint="eastAsia" w:ascii="宋体" w:hAnsi="宋体" w:eastAsia="宋体" w:cs="宋体"/>
                <w:color w:val="auto"/>
                <w:sz w:val="22"/>
                <w:szCs w:val="22"/>
              </w:rPr>
            </w:pPr>
          </w:p>
        </w:tc>
        <w:tc>
          <w:tcPr>
            <w:tcW w:w="938" w:type="dxa"/>
            <w:vAlign w:val="top"/>
          </w:tcPr>
          <w:p>
            <w:pPr>
              <w:pStyle w:val="11"/>
              <w:jc w:val="left"/>
              <w:rPr>
                <w:rFonts w:hint="eastAsia" w:ascii="宋体" w:hAnsi="宋体" w:eastAsia="宋体" w:cs="宋体"/>
                <w:color w:val="auto"/>
                <w:sz w:val="22"/>
                <w:szCs w:val="22"/>
              </w:rPr>
            </w:pPr>
          </w:p>
        </w:tc>
      </w:tr>
    </w:tbl>
    <w:p>
      <w:pPr>
        <w:spacing w:line="320" w:lineRule="exact"/>
        <w:jc w:val="left"/>
        <w:rPr>
          <w:rFonts w:ascii="宋体" w:hAnsi="宋体"/>
          <w:sz w:val="18"/>
          <w:szCs w:val="18"/>
        </w:rPr>
      </w:pPr>
      <w:r>
        <w:rPr>
          <w:rFonts w:hint="eastAsia" w:ascii="宋体" w:hAnsi="宋体"/>
          <w:sz w:val="18"/>
          <w:szCs w:val="18"/>
        </w:rPr>
        <w:t>备注：1.预算执行率=资金使用单位实际支出数/全年预算资金总额×100%。2.定量指标（全部完成计满分，未完成的按比例计分） 指标得分：全年实际完成值/年度指标值╳该指标分值。定性指标（分档确定完成百分比）：达成预期指标【完成[100%-80%]】，得指标分值的100%-80%；部分达成并具有一定效果【完成（80-60%]】，得指标分值的80-60%、未达成且效果较差【完成（60%-0]】，得指标分值的60%-0。</w:t>
      </w:r>
    </w:p>
    <w:p>
      <w:pPr>
        <w:jc w:val="left"/>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BFE6E"/>
    <w:multiLevelType w:val="singleLevel"/>
    <w:tmpl w:val="A71BFE6E"/>
    <w:lvl w:ilvl="0" w:tentative="0">
      <w:start w:val="1"/>
      <w:numFmt w:val="decimal"/>
      <w:suff w:val="nothing"/>
      <w:lvlText w:val="（%1）"/>
      <w:lvlJc w:val="left"/>
    </w:lvl>
  </w:abstractNum>
  <w:abstractNum w:abstractNumId="1">
    <w:nsid w:val="F59454C0"/>
    <w:multiLevelType w:val="singleLevel"/>
    <w:tmpl w:val="F59454C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2E9"/>
    <w:rsid w:val="003B3602"/>
    <w:rsid w:val="004E400E"/>
    <w:rsid w:val="005E1A89"/>
    <w:rsid w:val="006368E1"/>
    <w:rsid w:val="0075337D"/>
    <w:rsid w:val="007D5DFA"/>
    <w:rsid w:val="008A49BA"/>
    <w:rsid w:val="009A6F66"/>
    <w:rsid w:val="009A7916"/>
    <w:rsid w:val="00AB5567"/>
    <w:rsid w:val="00CB5BC8"/>
    <w:rsid w:val="00D312E9"/>
    <w:rsid w:val="00D97FA3"/>
    <w:rsid w:val="00E05795"/>
    <w:rsid w:val="00F341BA"/>
    <w:rsid w:val="00F84D4C"/>
    <w:rsid w:val="00F979AB"/>
    <w:rsid w:val="0129795B"/>
    <w:rsid w:val="0180270F"/>
    <w:rsid w:val="025E4BBE"/>
    <w:rsid w:val="02AC2455"/>
    <w:rsid w:val="05152385"/>
    <w:rsid w:val="09F37BB2"/>
    <w:rsid w:val="0B7848C8"/>
    <w:rsid w:val="0C537673"/>
    <w:rsid w:val="12223DAB"/>
    <w:rsid w:val="12E02AF9"/>
    <w:rsid w:val="13647A1F"/>
    <w:rsid w:val="13B86297"/>
    <w:rsid w:val="144533BC"/>
    <w:rsid w:val="17715943"/>
    <w:rsid w:val="17970145"/>
    <w:rsid w:val="18624D27"/>
    <w:rsid w:val="21180792"/>
    <w:rsid w:val="214F6483"/>
    <w:rsid w:val="281828ED"/>
    <w:rsid w:val="30E270B7"/>
    <w:rsid w:val="34B47CCD"/>
    <w:rsid w:val="368255F6"/>
    <w:rsid w:val="36B63C00"/>
    <w:rsid w:val="3A203026"/>
    <w:rsid w:val="3B07330E"/>
    <w:rsid w:val="3B212C3A"/>
    <w:rsid w:val="3D286F2D"/>
    <w:rsid w:val="3F0F5FDB"/>
    <w:rsid w:val="411E4984"/>
    <w:rsid w:val="417E6C68"/>
    <w:rsid w:val="438C7D2E"/>
    <w:rsid w:val="44B65F02"/>
    <w:rsid w:val="47AA17DF"/>
    <w:rsid w:val="47DA2F5A"/>
    <w:rsid w:val="47E77BC1"/>
    <w:rsid w:val="48236CBC"/>
    <w:rsid w:val="4D2D519D"/>
    <w:rsid w:val="4ED60DD0"/>
    <w:rsid w:val="526A5DE3"/>
    <w:rsid w:val="529C65D2"/>
    <w:rsid w:val="567E05E5"/>
    <w:rsid w:val="59397DC4"/>
    <w:rsid w:val="599A53EF"/>
    <w:rsid w:val="59E91DF7"/>
    <w:rsid w:val="5A7240FE"/>
    <w:rsid w:val="5C35266A"/>
    <w:rsid w:val="5CDD6773"/>
    <w:rsid w:val="5FC57ECE"/>
    <w:rsid w:val="60DF3CA2"/>
    <w:rsid w:val="613E79A8"/>
    <w:rsid w:val="645C159C"/>
    <w:rsid w:val="673035E1"/>
    <w:rsid w:val="6CDA4B4A"/>
    <w:rsid w:val="6CF60B52"/>
    <w:rsid w:val="6D292EE1"/>
    <w:rsid w:val="6E1C2F67"/>
    <w:rsid w:val="6F3E7297"/>
    <w:rsid w:val="735C012F"/>
    <w:rsid w:val="73BC6D51"/>
    <w:rsid w:val="74D5361F"/>
    <w:rsid w:val="75400FB5"/>
    <w:rsid w:val="756D1D8F"/>
    <w:rsid w:val="76901922"/>
    <w:rsid w:val="77B64CF0"/>
    <w:rsid w:val="78586561"/>
    <w:rsid w:val="7EF57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styleId="2">
    <w:name w:val="heading 1"/>
    <w:basedOn w:val="1"/>
    <w:next w:val="1"/>
    <w:qFormat/>
    <w:uiPriority w:val="1"/>
    <w:pPr>
      <w:ind w:left="360"/>
      <w:outlineLvl w:val="1"/>
    </w:pPr>
    <w:rPr>
      <w:rFonts w:ascii="宋体" w:hAnsi="宋体" w:eastAsia="宋体" w:cs="宋体"/>
      <w:sz w:val="44"/>
      <w:szCs w:val="44"/>
      <w:lang w:val="zh-CN" w:eastAsia="zh-CN" w:bidi="zh-CN"/>
    </w:rPr>
  </w:style>
  <w:style w:type="character" w:default="1" w:styleId="7">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link w:val="10"/>
    <w:semiHidden/>
    <w:unhideWhenUsed/>
    <w:qFormat/>
    <w:uiPriority w:val="99"/>
    <w:pPr>
      <w:tabs>
        <w:tab w:val="center" w:pos="4153"/>
        <w:tab w:val="right" w:pos="8306"/>
      </w:tabs>
      <w:snapToGrid w:val="0"/>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7"/>
    <w:link w:val="5"/>
    <w:semiHidden/>
    <w:qFormat/>
    <w:uiPriority w:val="99"/>
    <w:rPr>
      <w:rFonts w:ascii="Arial" w:hAnsi="Arial" w:eastAsia="宋体" w:cs="Arial"/>
      <w:color w:val="000000"/>
      <w:kern w:val="0"/>
      <w:sz w:val="18"/>
      <w:szCs w:val="18"/>
    </w:rPr>
  </w:style>
  <w:style w:type="character" w:customStyle="1" w:styleId="10">
    <w:name w:val="页脚 Char"/>
    <w:basedOn w:val="7"/>
    <w:link w:val="4"/>
    <w:semiHidden/>
    <w:qFormat/>
    <w:uiPriority w:val="99"/>
    <w:rPr>
      <w:rFonts w:ascii="Arial" w:hAnsi="Arial" w:eastAsia="宋体" w:cs="Arial"/>
      <w:color w:val="000000"/>
      <w:kern w:val="0"/>
      <w:sz w:val="18"/>
      <w:szCs w:val="18"/>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394</Words>
  <Characters>2248</Characters>
  <Lines>18</Lines>
  <Paragraphs>5</Paragraphs>
  <TotalTime>4</TotalTime>
  <ScaleCrop>false</ScaleCrop>
  <LinksUpToDate>false</LinksUpToDate>
  <CharactersWithSpaces>2637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2018-12-20T05:30:00Z</dcterms:created>
  <dc:creator>Lucy Lu</dc:creator>
  <cp:lastModifiedBy>Lenovo</cp:lastModifiedBy>
  <dcterms:modified xsi:type="dcterms:W3CDTF">2021-08-25T01:36:20Z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6021A3395589447DA62EEFB9F26A9844</vt:lpwstr>
  </property>
</Properties>
</file>